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A" w:rsidRPr="00A23F02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КОНТРОЛЬНО-КАССОВАЯ ТЕХНИКА (ККТ)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36A" w:rsidRPr="00A23F02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636A" w:rsidRPr="00A23F02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16.06.2022 N 1090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марта 2023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установлено, что 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кассовый чек и бланк строгой отчетности в отношении изделий из меха должны содержать идентификационный номер (идентификатор) контрольного (идентификационного) знака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36A" w:rsidRPr="00A23F02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Речь идет о товарах, в отношении которых в соответствии с </w:t>
      </w:r>
      <w:r w:rsidRPr="00A23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11.08.2016 N 787 установлены требования об обязательной маркировке контрольными (идентификационными) знаками. </w:t>
      </w: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36A" w:rsidRPr="0001216C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овары - продукция, соответствующая кодам </w:t>
      </w:r>
      <w:hyperlink r:id="rId4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4303 10 901 0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4303 10 902 0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4303 10 903 0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4303 10 904 0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4303 10 905 0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4303 10 906 0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4303 10 908 0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 единой Товарной номенклатуры внешнеэкономической деятельности Евразийского экономического союза (далее - товарная номенклатура): предметы одежды из норки, предметы одежды из нутрии, предметы одежды из песца или лисицы, предметы одежды из</w:t>
      </w:r>
      <w:proofErr w:type="gramEnd"/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 кролика или зайца, предметы одежды из енота, предметы одежды из овчины, предметы одежды прочие (предметы одежды из иных видов меха), включенные в </w:t>
      </w:r>
      <w:hyperlink r:id="rId11" w:history="1">
        <w:r w:rsidRPr="00012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 товаров, подлежащих маркировке контрольными (идентификационными) знаками, утвержденный Решением Совета Евразийской экономической комиссии от 23 ноября 2015 г. N 70; </w:t>
      </w:r>
    </w:p>
    <w:p w:rsidR="00A1636A" w:rsidRDefault="00A1636A" w:rsidP="00A1636A"/>
    <w:p w:rsidR="00A1636A" w:rsidRPr="0001216C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1216C">
        <w:rPr>
          <w:rFonts w:ascii="Arial" w:eastAsia="Times New Roman" w:hAnsi="Arial" w:cs="Arial"/>
          <w:b/>
          <w:bCs/>
          <w:sz w:val="24"/>
          <w:szCs w:val="24"/>
        </w:rPr>
        <w:t xml:space="preserve">ПЕРЕЧЕНЬ </w:t>
      </w:r>
    </w:p>
    <w:p w:rsidR="00A1636A" w:rsidRPr="0001216C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1216C">
        <w:rPr>
          <w:rFonts w:ascii="Arial" w:eastAsia="Times New Roman" w:hAnsi="Arial" w:cs="Arial"/>
          <w:b/>
          <w:bCs/>
          <w:sz w:val="24"/>
          <w:szCs w:val="24"/>
        </w:rPr>
        <w:t xml:space="preserve">ТОВАРОВ, ПОДЛЕЖАЩИХ МАРКИРОВКЕ </w:t>
      </w:r>
      <w:proofErr w:type="gramStart"/>
      <w:r w:rsidRPr="0001216C">
        <w:rPr>
          <w:rFonts w:ascii="Arial" w:eastAsia="Times New Roman" w:hAnsi="Arial" w:cs="Arial"/>
          <w:b/>
          <w:bCs/>
          <w:sz w:val="24"/>
          <w:szCs w:val="24"/>
        </w:rPr>
        <w:t>КОНТРОЛЬНЫМИ</w:t>
      </w:r>
      <w:proofErr w:type="gramEnd"/>
      <w:r w:rsidRPr="000121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1636A" w:rsidRPr="0001216C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1216C">
        <w:rPr>
          <w:rFonts w:ascii="Arial" w:eastAsia="Times New Roman" w:hAnsi="Arial" w:cs="Arial"/>
          <w:b/>
          <w:bCs/>
          <w:sz w:val="24"/>
          <w:szCs w:val="24"/>
        </w:rPr>
        <w:t xml:space="preserve">(ИДЕНТИФИКАЦИОННЫМИ) ЗНАКАМИ </w:t>
      </w:r>
    </w:p>
    <w:p w:rsidR="00A1636A" w:rsidRPr="0001216C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7419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2463"/>
        <w:gridCol w:w="4956"/>
      </w:tblGrid>
      <w:tr w:rsidR="00A1636A" w:rsidRPr="0001216C" w:rsidTr="00A531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6A" w:rsidRPr="0001216C" w:rsidRDefault="00A1636A" w:rsidP="00A53190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hyperlink r:id="rId12" w:history="1">
              <w:r w:rsidRPr="0001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ТН ВЭД ЕАЭС</w:t>
              </w:r>
            </w:hyperlink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6A" w:rsidRPr="0001216C" w:rsidRDefault="00A1636A" w:rsidP="00A53190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</w:tr>
      <w:tr w:rsidR="00A1636A" w:rsidRPr="0001216C" w:rsidTr="00A53190"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4303 10 901 0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из норки </w:t>
            </w:r>
          </w:p>
        </w:tc>
      </w:tr>
      <w:tr w:rsidR="00A1636A" w:rsidRPr="0001216C" w:rsidTr="00A53190"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4303 10 902 0 </w:t>
            </w:r>
          </w:p>
        </w:tc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из нутрии </w:t>
            </w:r>
          </w:p>
        </w:tc>
      </w:tr>
      <w:tr w:rsidR="00A1636A" w:rsidRPr="0001216C" w:rsidTr="00A53190"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4303 10 903 0 </w:t>
            </w:r>
          </w:p>
        </w:tc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из песца или лисицы </w:t>
            </w:r>
          </w:p>
        </w:tc>
      </w:tr>
      <w:tr w:rsidR="00A1636A" w:rsidRPr="0001216C" w:rsidTr="00A53190"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4303 10 904 0 </w:t>
            </w:r>
          </w:p>
        </w:tc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из кролика или зайца </w:t>
            </w:r>
          </w:p>
        </w:tc>
      </w:tr>
      <w:tr w:rsidR="00A1636A" w:rsidRPr="0001216C" w:rsidTr="00A53190"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4303 10 905 0 </w:t>
            </w:r>
          </w:p>
        </w:tc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из енота </w:t>
            </w:r>
          </w:p>
        </w:tc>
      </w:tr>
      <w:tr w:rsidR="00A1636A" w:rsidRPr="0001216C" w:rsidTr="00A53190"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4303 10 906 0 </w:t>
            </w:r>
          </w:p>
        </w:tc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из овчины </w:t>
            </w:r>
          </w:p>
        </w:tc>
      </w:tr>
      <w:tr w:rsidR="00A1636A" w:rsidRPr="0001216C" w:rsidTr="00A53190"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4303 10 908 0 </w:t>
            </w:r>
          </w:p>
        </w:tc>
        <w:tc>
          <w:tcPr>
            <w:tcW w:w="0" w:type="auto"/>
            <w:vAlign w:val="center"/>
            <w:hideMark/>
          </w:tcPr>
          <w:p w:rsidR="00A1636A" w:rsidRPr="0001216C" w:rsidRDefault="00A1636A" w:rsidP="00A53190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одежды прочие </w:t>
            </w:r>
            <w:hyperlink w:anchor="p22" w:history="1">
              <w:r w:rsidRPr="0001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01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636A" w:rsidRPr="0001216C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636A" w:rsidRPr="0001216C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 </w:t>
      </w:r>
    </w:p>
    <w:p w:rsidR="00A1636A" w:rsidRPr="0001216C" w:rsidRDefault="00A1636A" w:rsidP="00A1636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2"/>
      <w:bookmarkEnd w:id="0"/>
      <w:r w:rsidRPr="0001216C">
        <w:rPr>
          <w:rFonts w:ascii="Times New Roman" w:eastAsia="Times New Roman" w:hAnsi="Times New Roman" w:cs="Times New Roman"/>
          <w:sz w:val="24"/>
          <w:szCs w:val="24"/>
        </w:rPr>
        <w:t xml:space="preserve">&lt;*&gt; Предметы одежды из иных видов меха. </w:t>
      </w:r>
    </w:p>
    <w:p w:rsidR="0060209B" w:rsidRDefault="0060209B"/>
    <w:sectPr w:rsidR="0060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636A"/>
    <w:rsid w:val="0060209B"/>
    <w:rsid w:val="00A1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7996&amp;dst=128253&amp;field=134&amp;date=25.02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7996&amp;dst=128249&amp;field=134&amp;date=25.02.2023" TargetMode="External"/><Relationship Id="rId12" Type="http://schemas.openxmlformats.org/officeDocument/2006/relationships/hyperlink" Target="https://login.consultant.ru/link/?req=doc&amp;demo=2&amp;base=LAW&amp;n=437996&amp;dst=100162&amp;field=134&amp;date=25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7996&amp;dst=128245&amp;field=134&amp;date=25.02.2023" TargetMode="External"/><Relationship Id="rId11" Type="http://schemas.openxmlformats.org/officeDocument/2006/relationships/hyperlink" Target="https://login.consultant.ru/link/?req=doc&amp;demo=2&amp;base=LAW&amp;n=321357&amp;dst=100019&amp;field=134&amp;date=25.02.2023" TargetMode="External"/><Relationship Id="rId5" Type="http://schemas.openxmlformats.org/officeDocument/2006/relationships/hyperlink" Target="https://login.consultant.ru/link/?req=doc&amp;demo=2&amp;base=LAW&amp;n=437996&amp;dst=128241&amp;field=134&amp;date=25.02.2023" TargetMode="External"/><Relationship Id="rId10" Type="http://schemas.openxmlformats.org/officeDocument/2006/relationships/hyperlink" Target="https://login.consultant.ru/link/?req=doc&amp;demo=2&amp;base=LAW&amp;n=437996&amp;dst=128265&amp;field=134&amp;date=25.02.2023" TargetMode="External"/><Relationship Id="rId4" Type="http://schemas.openxmlformats.org/officeDocument/2006/relationships/hyperlink" Target="https://login.consultant.ru/link/?req=doc&amp;demo=2&amp;base=LAW&amp;n=437996&amp;dst=128237&amp;field=134&amp;date=25.02.2023" TargetMode="External"/><Relationship Id="rId9" Type="http://schemas.openxmlformats.org/officeDocument/2006/relationships/hyperlink" Target="https://login.consultant.ru/link/?req=doc&amp;demo=2&amp;base=LAW&amp;n=437996&amp;dst=128257&amp;field=134&amp;date=25.0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2023-02-25T16:24:00Z</dcterms:created>
  <dcterms:modified xsi:type="dcterms:W3CDTF">2023-02-25T16:27:00Z</dcterms:modified>
</cp:coreProperties>
</file>